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29" w:rsidRPr="00870849" w:rsidRDefault="00221C29" w:rsidP="00221C29">
      <w:pPr>
        <w:pStyle w:val="a7"/>
        <w:spacing w:before="0" w:beforeAutospacing="0" w:after="0" w:afterAutospacing="0" w:line="560" w:lineRule="exact"/>
        <w:jc w:val="both"/>
        <w:rPr>
          <w:rFonts w:ascii="Times New Roman" w:eastAsia="黑体" w:hAnsi="Times New Roman" w:cs="Times New Roman"/>
          <w:sz w:val="32"/>
          <w:szCs w:val="32"/>
        </w:rPr>
      </w:pPr>
      <w:r w:rsidRPr="00870849">
        <w:rPr>
          <w:rFonts w:ascii="Times New Roman" w:eastAsia="黑体" w:hAnsi="Times New Roman" w:cs="Times New Roman"/>
          <w:sz w:val="32"/>
          <w:szCs w:val="32"/>
        </w:rPr>
        <w:t>附件</w:t>
      </w:r>
      <w:r w:rsidRPr="00870849">
        <w:rPr>
          <w:rFonts w:ascii="Times New Roman" w:eastAsia="黑体" w:hAnsi="Times New Roman" w:cs="Times New Roman"/>
          <w:sz w:val="32"/>
          <w:szCs w:val="32"/>
        </w:rPr>
        <w:t>2</w:t>
      </w:r>
    </w:p>
    <w:tbl>
      <w:tblPr>
        <w:tblpPr w:leftFromText="180" w:rightFromText="180" w:vertAnchor="text" w:horzAnchor="page" w:tblpX="1907"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091"/>
        <w:gridCol w:w="5404"/>
        <w:gridCol w:w="975"/>
      </w:tblGrid>
      <w:tr w:rsidR="00221C29" w:rsidRPr="00870849" w:rsidTr="002B589D">
        <w:trPr>
          <w:trHeight w:val="567"/>
        </w:trPr>
        <w:tc>
          <w:tcPr>
            <w:tcW w:w="8330" w:type="dxa"/>
            <w:gridSpan w:val="4"/>
            <w:vAlign w:val="center"/>
          </w:tcPr>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color w:val="000000"/>
                <w:szCs w:val="21"/>
              </w:rPr>
              <w:t>西安市房地产经纪不良行为信用扣分标准</w:t>
            </w:r>
          </w:p>
        </w:tc>
      </w:tr>
      <w:tr w:rsidR="00221C29" w:rsidRPr="00870849" w:rsidTr="002B589D">
        <w:trPr>
          <w:trHeight w:val="567"/>
        </w:trPr>
        <w:tc>
          <w:tcPr>
            <w:tcW w:w="1951" w:type="dxa"/>
            <w:gridSpan w:val="2"/>
            <w:vMerge w:val="restart"/>
            <w:vAlign w:val="center"/>
          </w:tcPr>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bCs/>
                <w:color w:val="000000"/>
                <w:szCs w:val="21"/>
              </w:rPr>
              <w:t>行为类别</w:t>
            </w:r>
          </w:p>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bCs/>
                <w:color w:val="000000"/>
                <w:szCs w:val="21"/>
              </w:rPr>
              <w:t>及代码</w:t>
            </w:r>
          </w:p>
        </w:tc>
        <w:tc>
          <w:tcPr>
            <w:tcW w:w="5404" w:type="dxa"/>
            <w:vMerge w:val="restart"/>
            <w:vAlign w:val="center"/>
          </w:tcPr>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bCs/>
                <w:color w:val="000000"/>
                <w:szCs w:val="21"/>
              </w:rPr>
              <w:t>不良行为描述</w:t>
            </w:r>
          </w:p>
        </w:tc>
        <w:tc>
          <w:tcPr>
            <w:tcW w:w="975" w:type="dxa"/>
            <w:vMerge w:val="restart"/>
            <w:vAlign w:val="center"/>
          </w:tcPr>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bCs/>
                <w:color w:val="000000"/>
                <w:szCs w:val="21"/>
              </w:rPr>
              <w:t>扣分</w:t>
            </w:r>
          </w:p>
          <w:p w:rsidR="00221C29" w:rsidRPr="00870849" w:rsidRDefault="00221C29" w:rsidP="002B589D">
            <w:pPr>
              <w:spacing w:line="240" w:lineRule="exact"/>
              <w:jc w:val="center"/>
              <w:rPr>
                <w:rFonts w:ascii="黑体" w:eastAsia="黑体" w:hAnsi="黑体"/>
                <w:bCs/>
                <w:color w:val="000000"/>
                <w:szCs w:val="21"/>
              </w:rPr>
            </w:pPr>
            <w:r w:rsidRPr="00870849">
              <w:rPr>
                <w:rFonts w:ascii="黑体" w:eastAsia="黑体" w:hAnsi="黑体"/>
                <w:bCs/>
                <w:color w:val="000000"/>
                <w:szCs w:val="21"/>
              </w:rPr>
              <w:t>分值</w:t>
            </w:r>
          </w:p>
        </w:tc>
      </w:tr>
      <w:tr w:rsidR="00221C29" w:rsidRPr="00870849" w:rsidTr="002B589D">
        <w:trPr>
          <w:trHeight w:val="567"/>
        </w:trPr>
        <w:tc>
          <w:tcPr>
            <w:tcW w:w="1951" w:type="dxa"/>
            <w:gridSpan w:val="2"/>
            <w:vMerge/>
            <w:vAlign w:val="center"/>
          </w:tcPr>
          <w:p w:rsidR="00221C29" w:rsidRPr="00870849" w:rsidRDefault="00221C29" w:rsidP="002B589D">
            <w:pPr>
              <w:spacing w:line="240" w:lineRule="exact"/>
              <w:jc w:val="center"/>
              <w:rPr>
                <w:rFonts w:ascii="Times New Roman" w:eastAsia="仿宋_GB2312" w:hAnsi="Times New Roman"/>
                <w:b/>
                <w:bCs/>
                <w:color w:val="000000"/>
                <w:szCs w:val="21"/>
              </w:rPr>
            </w:pPr>
          </w:p>
        </w:tc>
        <w:tc>
          <w:tcPr>
            <w:tcW w:w="5404" w:type="dxa"/>
            <w:vMerge/>
            <w:vAlign w:val="center"/>
          </w:tcPr>
          <w:p w:rsidR="00221C29" w:rsidRPr="00870849" w:rsidRDefault="00221C29" w:rsidP="002B589D">
            <w:pPr>
              <w:spacing w:line="240" w:lineRule="exact"/>
              <w:jc w:val="center"/>
              <w:rPr>
                <w:rFonts w:ascii="Times New Roman" w:eastAsia="仿宋_GB2312" w:hAnsi="Times New Roman"/>
                <w:b/>
                <w:bCs/>
                <w:color w:val="000000"/>
                <w:szCs w:val="21"/>
              </w:rPr>
            </w:pPr>
          </w:p>
        </w:tc>
        <w:tc>
          <w:tcPr>
            <w:tcW w:w="975" w:type="dxa"/>
            <w:vMerge/>
            <w:vAlign w:val="center"/>
          </w:tcPr>
          <w:p w:rsidR="00221C29" w:rsidRPr="00870849" w:rsidRDefault="00221C29" w:rsidP="002B589D">
            <w:pPr>
              <w:spacing w:line="240" w:lineRule="exact"/>
              <w:jc w:val="center"/>
              <w:rPr>
                <w:rFonts w:ascii="Times New Roman" w:eastAsia="仿宋_GB2312" w:hAnsi="Times New Roman"/>
                <w:b/>
                <w:bCs/>
                <w:color w:val="000000"/>
                <w:szCs w:val="21"/>
              </w:rPr>
            </w:pPr>
          </w:p>
        </w:tc>
      </w:tr>
      <w:tr w:rsidR="00221C29" w:rsidRPr="00870849" w:rsidTr="002B589D">
        <w:trPr>
          <w:trHeight w:val="567"/>
        </w:trPr>
        <w:tc>
          <w:tcPr>
            <w:tcW w:w="860" w:type="dxa"/>
            <w:vMerge w:val="restart"/>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color w:val="000000"/>
                <w:szCs w:val="21"/>
              </w:rPr>
              <w:t>基本信息管理</w:t>
            </w: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1.1</w:t>
            </w:r>
          </w:p>
        </w:tc>
        <w:tc>
          <w:tcPr>
            <w:tcW w:w="5404" w:type="dxa"/>
            <w:vAlign w:val="center"/>
          </w:tcPr>
          <w:p w:rsidR="00221C29" w:rsidRPr="00870849" w:rsidRDefault="00221C29" w:rsidP="002B589D">
            <w:p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房地产经纪人或经纪人协理违规兼职、挂靠、重复任职</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未按行业自律规定公开作出信用承诺。每次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p>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3</w:t>
            </w:r>
          </w:p>
          <w:p w:rsidR="00221C29" w:rsidRPr="00870849" w:rsidRDefault="00221C29" w:rsidP="002B589D">
            <w:pPr>
              <w:spacing w:line="240" w:lineRule="exact"/>
              <w:jc w:val="center"/>
              <w:rPr>
                <w:rFonts w:ascii="Times New Roman" w:eastAsia="仿宋_GB2312" w:hAnsi="Times New Roman"/>
                <w:color w:val="000000"/>
                <w:szCs w:val="21"/>
              </w:rPr>
            </w:pPr>
          </w:p>
        </w:tc>
      </w:tr>
      <w:tr w:rsidR="00221C29" w:rsidRPr="00870849" w:rsidTr="002B589D">
        <w:trPr>
          <w:trHeight w:val="567"/>
        </w:trPr>
        <w:tc>
          <w:tcPr>
            <w:tcW w:w="860" w:type="dxa"/>
            <w:vMerge/>
            <w:vAlign w:val="center"/>
          </w:tcPr>
          <w:p w:rsidR="00221C29" w:rsidRPr="00870849" w:rsidRDefault="00221C29" w:rsidP="002B589D">
            <w:pPr>
              <w:spacing w:line="240" w:lineRule="exact"/>
              <w:jc w:val="center"/>
              <w:rPr>
                <w:rFonts w:ascii="Times New Roman" w:eastAsia="仿宋_GB2312" w:hAnsi="Times New Roman"/>
                <w:bCs/>
                <w:color w:val="000000"/>
                <w:szCs w:val="21"/>
              </w:rPr>
            </w:pP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1.2</w:t>
            </w:r>
          </w:p>
        </w:tc>
        <w:tc>
          <w:tcPr>
            <w:tcW w:w="5404" w:type="dxa"/>
            <w:vAlign w:val="center"/>
          </w:tcPr>
          <w:p w:rsidR="00221C29" w:rsidRPr="00870849" w:rsidRDefault="00221C29" w:rsidP="002B589D">
            <w:p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未如实申报机构信用信息</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超出工商注册登记经营范围从事房地产经纪活动</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出租、出借、转让、出卖或违规使用房屋网签备案系统</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经营场所、联系电话、法定代表人、股东、经营范围、经营情况等重要信息发生变化，未按规定时间变更，或故意填报虚假信息。每次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5</w:t>
            </w:r>
          </w:p>
        </w:tc>
      </w:tr>
      <w:tr w:rsidR="00221C29" w:rsidRPr="00870849" w:rsidTr="002B589D">
        <w:trPr>
          <w:trHeight w:val="567"/>
        </w:trPr>
        <w:tc>
          <w:tcPr>
            <w:tcW w:w="860" w:type="dxa"/>
            <w:vMerge w:val="restart"/>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color w:val="000000"/>
                <w:szCs w:val="21"/>
              </w:rPr>
              <w:t>日常经营管理行为</w:t>
            </w: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2.1</w:t>
            </w:r>
          </w:p>
        </w:tc>
        <w:tc>
          <w:tcPr>
            <w:tcW w:w="5404" w:type="dxa"/>
            <w:vAlign w:val="center"/>
          </w:tcPr>
          <w:p w:rsidR="00221C29" w:rsidRPr="00870849" w:rsidRDefault="00221C29" w:rsidP="002B589D">
            <w:p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不按时、不完整填报、虚假填报或不按照要求向主管部门报送要求材料，每次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3</w:t>
            </w:r>
          </w:p>
        </w:tc>
      </w:tr>
      <w:tr w:rsidR="00221C29" w:rsidRPr="00870849" w:rsidTr="002B589D">
        <w:trPr>
          <w:trHeight w:val="567"/>
        </w:trPr>
        <w:tc>
          <w:tcPr>
            <w:tcW w:w="860" w:type="dxa"/>
            <w:vMerge/>
            <w:vAlign w:val="center"/>
          </w:tcPr>
          <w:p w:rsidR="00221C29" w:rsidRPr="00870849" w:rsidRDefault="00221C29" w:rsidP="002B589D">
            <w:pPr>
              <w:spacing w:line="240" w:lineRule="exact"/>
              <w:jc w:val="center"/>
              <w:rPr>
                <w:rFonts w:ascii="Times New Roman" w:eastAsia="仿宋_GB2312" w:hAnsi="Times New Roman"/>
                <w:bCs/>
                <w:color w:val="000000"/>
                <w:szCs w:val="21"/>
              </w:rPr>
            </w:pPr>
          </w:p>
        </w:tc>
        <w:tc>
          <w:tcPr>
            <w:tcW w:w="1091" w:type="dxa"/>
            <w:vAlign w:val="center"/>
          </w:tcPr>
          <w:p w:rsidR="00221C29" w:rsidRPr="00870849" w:rsidRDefault="00221C29" w:rsidP="002B589D">
            <w:pPr>
              <w:spacing w:line="240" w:lineRule="exact"/>
              <w:rPr>
                <w:rFonts w:ascii="Times New Roman" w:eastAsia="仿宋_GB2312" w:hAnsi="Times New Roman"/>
                <w:bCs/>
                <w:color w:val="000000"/>
                <w:szCs w:val="21"/>
              </w:rPr>
            </w:pPr>
          </w:p>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2.2</w:t>
            </w:r>
          </w:p>
          <w:p w:rsidR="00221C29" w:rsidRPr="00870849" w:rsidRDefault="00221C29" w:rsidP="002B589D">
            <w:pPr>
              <w:spacing w:line="240" w:lineRule="exact"/>
              <w:rPr>
                <w:rFonts w:ascii="Times New Roman" w:eastAsia="仿宋_GB2312" w:hAnsi="Times New Roman"/>
                <w:bCs/>
                <w:color w:val="000000"/>
                <w:szCs w:val="21"/>
              </w:rPr>
            </w:pPr>
          </w:p>
        </w:tc>
        <w:tc>
          <w:tcPr>
            <w:tcW w:w="5404" w:type="dxa"/>
            <w:vAlign w:val="center"/>
          </w:tcPr>
          <w:p w:rsidR="00221C29" w:rsidRPr="00870849" w:rsidRDefault="00221C29" w:rsidP="002B589D">
            <w:pPr>
              <w:numPr>
                <w:ilvl w:val="0"/>
                <w:numId w:val="1"/>
              </w:num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未按《房地产经纪管理办法》规定在经营场所醒目位置公示营业执照、业务流程、从业人员及投诉方式</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2</w:t>
            </w:r>
            <w:r w:rsidRPr="00870849">
              <w:rPr>
                <w:rFonts w:ascii="Times New Roman" w:eastAsia="仿宋_GB2312" w:hAnsi="Times New Roman"/>
                <w:color w:val="000000"/>
                <w:szCs w:val="21"/>
              </w:rPr>
              <w:t>）未按规定在经营场所醒目位置公示交易资金监管方式及</w:t>
            </w:r>
            <w:r w:rsidRPr="00870849">
              <w:rPr>
                <w:rFonts w:ascii="Times New Roman" w:eastAsia="仿宋_GB2312" w:hAnsi="Times New Roman"/>
                <w:color w:val="000000"/>
                <w:szCs w:val="21"/>
              </w:rPr>
              <w:t>12315</w:t>
            </w:r>
            <w:r w:rsidRPr="00870849">
              <w:rPr>
                <w:rFonts w:ascii="Times New Roman" w:eastAsia="仿宋_GB2312" w:hAnsi="Times New Roman"/>
                <w:color w:val="000000"/>
                <w:szCs w:val="21"/>
              </w:rPr>
              <w:t>价格举报电话</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3</w:t>
            </w:r>
            <w:r w:rsidRPr="00870849">
              <w:rPr>
                <w:rFonts w:ascii="Times New Roman" w:eastAsia="仿宋_GB2312" w:hAnsi="Times New Roman"/>
                <w:color w:val="000000"/>
                <w:szCs w:val="21"/>
              </w:rPr>
              <w:t>）未在经营场所醒目位置公示信用档案查询方式、投诉渠道以及房屋中介服务合同范本、房屋买卖合同范本、房屋租赁合同示范文本</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4</w:t>
            </w:r>
            <w:r w:rsidRPr="00870849">
              <w:rPr>
                <w:rFonts w:ascii="Times New Roman" w:eastAsia="仿宋_GB2312" w:hAnsi="Times New Roman"/>
                <w:color w:val="000000"/>
                <w:szCs w:val="21"/>
              </w:rPr>
              <w:t>）代理商品房销售的，未按规定在销售现场明显位置公示商品房销售委托书和批准销售商品房有关证明文件。每次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5</w:t>
            </w:r>
          </w:p>
        </w:tc>
      </w:tr>
      <w:tr w:rsidR="00221C29" w:rsidRPr="00870849" w:rsidTr="002B589D">
        <w:trPr>
          <w:trHeight w:val="567"/>
        </w:trPr>
        <w:tc>
          <w:tcPr>
            <w:tcW w:w="860" w:type="dxa"/>
            <w:vMerge w:val="restart"/>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严重不良信用行为</w:t>
            </w: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3.1</w:t>
            </w:r>
          </w:p>
        </w:tc>
        <w:tc>
          <w:tcPr>
            <w:tcW w:w="5404" w:type="dxa"/>
            <w:vAlign w:val="center"/>
          </w:tcPr>
          <w:p w:rsidR="00221C29" w:rsidRPr="00870849" w:rsidRDefault="00221C29" w:rsidP="002B589D">
            <w:pPr>
              <w:numPr>
                <w:ilvl w:val="0"/>
                <w:numId w:val="2"/>
              </w:num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在经纪服务活动中协助服务对象伪造公文、证件、印章；（</w:t>
            </w:r>
            <w:r w:rsidRPr="00870849">
              <w:rPr>
                <w:rFonts w:ascii="Times New Roman" w:eastAsia="仿宋_GB2312" w:hAnsi="Times New Roman"/>
                <w:color w:val="000000"/>
                <w:szCs w:val="21"/>
              </w:rPr>
              <w:t>2</w:t>
            </w:r>
            <w:r w:rsidRPr="00870849">
              <w:rPr>
                <w:rFonts w:ascii="Times New Roman" w:eastAsia="仿宋_GB2312" w:hAnsi="Times New Roman"/>
                <w:color w:val="000000"/>
                <w:szCs w:val="21"/>
              </w:rPr>
              <w:t>）房地产经纪人员以个人名义承接房地产经纪业务和收取费用；（</w:t>
            </w:r>
            <w:r w:rsidRPr="00870849">
              <w:rPr>
                <w:rFonts w:ascii="Times New Roman" w:eastAsia="仿宋_GB2312" w:hAnsi="Times New Roman"/>
                <w:color w:val="000000"/>
                <w:szCs w:val="21"/>
              </w:rPr>
              <w:t>3</w:t>
            </w:r>
            <w:r w:rsidRPr="00870849">
              <w:rPr>
                <w:rFonts w:ascii="Times New Roman" w:eastAsia="仿宋_GB2312" w:hAnsi="Times New Roman"/>
                <w:color w:val="000000"/>
                <w:szCs w:val="21"/>
              </w:rPr>
              <w:t>）提供代办贷款、代办不动产登记等其他服务，未向委托人书面告知服务内容、收费标准等情况，未经委托人书面同意的；（</w:t>
            </w:r>
            <w:r w:rsidRPr="00870849">
              <w:rPr>
                <w:rFonts w:ascii="Times New Roman" w:eastAsia="仿宋_GB2312" w:hAnsi="Times New Roman"/>
                <w:color w:val="000000"/>
                <w:szCs w:val="21"/>
              </w:rPr>
              <w:t>4</w:t>
            </w:r>
            <w:r w:rsidRPr="00870849">
              <w:rPr>
                <w:rFonts w:ascii="Times New Roman" w:eastAsia="仿宋_GB2312" w:hAnsi="Times New Roman"/>
                <w:color w:val="000000"/>
                <w:szCs w:val="21"/>
              </w:rPr>
              <w:t>）签订房地产经纪服务合同前，未向交易当事人说明和告知规定事项；（</w:t>
            </w:r>
            <w:r w:rsidRPr="00870849">
              <w:rPr>
                <w:rFonts w:ascii="Times New Roman" w:eastAsia="仿宋_GB2312" w:hAnsi="Times New Roman"/>
                <w:color w:val="000000"/>
                <w:szCs w:val="21"/>
              </w:rPr>
              <w:t>5</w:t>
            </w:r>
            <w:r w:rsidRPr="00870849">
              <w:rPr>
                <w:rFonts w:ascii="Times New Roman" w:eastAsia="仿宋_GB2312" w:hAnsi="Times New Roman"/>
                <w:color w:val="000000"/>
                <w:szCs w:val="21"/>
              </w:rPr>
              <w:t>）未按规定如实记录业务情况或者保存房地产经纪服务合同；（</w:t>
            </w:r>
            <w:r w:rsidRPr="00870849">
              <w:rPr>
                <w:rFonts w:ascii="Times New Roman" w:eastAsia="仿宋_GB2312" w:hAnsi="Times New Roman"/>
                <w:color w:val="000000"/>
                <w:szCs w:val="21"/>
              </w:rPr>
              <w:t>6</w:t>
            </w:r>
            <w:r w:rsidRPr="00870849">
              <w:rPr>
                <w:rFonts w:ascii="Times New Roman" w:eastAsia="仿宋_GB2312" w:hAnsi="Times New Roman"/>
                <w:color w:val="000000"/>
                <w:szCs w:val="21"/>
              </w:rPr>
              <w:t>）未按规定实施明码标价制度，未在经营场所醒目位置标明服务项目、服务内容、收费标准及相关房地产价格和信息；（</w:t>
            </w:r>
            <w:r w:rsidRPr="00870849">
              <w:rPr>
                <w:rFonts w:ascii="Times New Roman" w:eastAsia="仿宋_GB2312" w:hAnsi="Times New Roman"/>
                <w:color w:val="000000"/>
                <w:szCs w:val="21"/>
              </w:rPr>
              <w:t>7</w:t>
            </w:r>
            <w:r w:rsidRPr="00870849">
              <w:rPr>
                <w:rFonts w:ascii="Times New Roman" w:eastAsia="仿宋_GB2312" w:hAnsi="Times New Roman"/>
                <w:color w:val="000000"/>
                <w:szCs w:val="21"/>
              </w:rPr>
              <w:t>）未提前向服务对象书面告知，收取费用；（</w:t>
            </w:r>
            <w:r w:rsidRPr="00870849">
              <w:rPr>
                <w:rFonts w:ascii="Times New Roman" w:eastAsia="仿宋_GB2312" w:hAnsi="Times New Roman"/>
                <w:color w:val="000000"/>
                <w:szCs w:val="21"/>
              </w:rPr>
              <w:t>8</w:t>
            </w:r>
            <w:r w:rsidRPr="00870849">
              <w:rPr>
                <w:rFonts w:ascii="Times New Roman" w:eastAsia="仿宋_GB2312" w:hAnsi="Times New Roman"/>
                <w:color w:val="000000"/>
                <w:szCs w:val="21"/>
              </w:rPr>
              <w:t>）利用虚假或使人误解的标价内容和标价方式进行价格欺诈；（</w:t>
            </w:r>
            <w:r w:rsidRPr="00870849">
              <w:rPr>
                <w:rFonts w:ascii="Times New Roman" w:eastAsia="仿宋_GB2312" w:hAnsi="Times New Roman"/>
                <w:color w:val="000000"/>
                <w:szCs w:val="21"/>
              </w:rPr>
              <w:t>9</w:t>
            </w:r>
            <w:r w:rsidRPr="00870849">
              <w:rPr>
                <w:rFonts w:ascii="Times New Roman" w:eastAsia="仿宋_GB2312" w:hAnsi="Times New Roman"/>
                <w:color w:val="000000"/>
                <w:szCs w:val="21"/>
              </w:rPr>
              <w:t>）将一项服务分解为多个服务混合捆绑标价；（</w:t>
            </w:r>
            <w:r w:rsidRPr="00870849">
              <w:rPr>
                <w:rFonts w:ascii="Times New Roman" w:eastAsia="仿宋_GB2312" w:hAnsi="Times New Roman"/>
                <w:color w:val="000000"/>
                <w:szCs w:val="21"/>
              </w:rPr>
              <w:t>10</w:t>
            </w:r>
            <w:r w:rsidRPr="00870849">
              <w:rPr>
                <w:rFonts w:ascii="Times New Roman" w:eastAsia="仿宋_GB2312" w:hAnsi="Times New Roman"/>
                <w:color w:val="000000"/>
                <w:szCs w:val="21"/>
              </w:rPr>
              <w:t>）未完成房地产经纪服务合同约定事项或服务未达到服务约定标准收取佣金；（</w:t>
            </w:r>
            <w:r w:rsidRPr="00870849">
              <w:rPr>
                <w:rFonts w:ascii="Times New Roman" w:eastAsia="仿宋_GB2312" w:hAnsi="Times New Roman"/>
                <w:color w:val="000000"/>
                <w:szCs w:val="21"/>
              </w:rPr>
              <w:t>11</w:t>
            </w:r>
            <w:r w:rsidRPr="00870849">
              <w:rPr>
                <w:rFonts w:ascii="Times New Roman" w:eastAsia="仿宋_GB2312" w:hAnsi="Times New Roman"/>
                <w:color w:val="000000"/>
                <w:szCs w:val="21"/>
              </w:rPr>
              <w:t>）两家以上机构合作开展同一业务向委托人增加收费；（</w:t>
            </w:r>
            <w:r w:rsidRPr="00870849">
              <w:rPr>
                <w:rFonts w:ascii="Times New Roman" w:eastAsia="仿宋_GB2312" w:hAnsi="Times New Roman"/>
                <w:color w:val="000000"/>
                <w:szCs w:val="21"/>
              </w:rPr>
              <w:t>12</w:t>
            </w:r>
            <w:r w:rsidRPr="00870849">
              <w:rPr>
                <w:rFonts w:ascii="Times New Roman" w:eastAsia="仿宋_GB2312" w:hAnsi="Times New Roman"/>
                <w:color w:val="000000"/>
                <w:szCs w:val="21"/>
              </w:rPr>
              <w:t>）捏造散布涨价信息，或者与房地产开发经营单位串通捂盘惜售、炒卖房号，操纵市场价格；（</w:t>
            </w:r>
            <w:r w:rsidRPr="00870849">
              <w:rPr>
                <w:rFonts w:ascii="Times New Roman" w:eastAsia="仿宋_GB2312" w:hAnsi="Times New Roman"/>
                <w:color w:val="000000"/>
                <w:szCs w:val="21"/>
              </w:rPr>
              <w:t>13</w:t>
            </w:r>
            <w:r w:rsidRPr="00870849">
              <w:rPr>
                <w:rFonts w:ascii="Times New Roman" w:eastAsia="仿宋_GB2312" w:hAnsi="Times New Roman"/>
                <w:color w:val="000000"/>
                <w:szCs w:val="21"/>
              </w:rPr>
              <w:t>）对交易当事人隐瞒真实的房屋交易信息，低价收进高价卖（租）出房屋赚取差价</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14</w:t>
            </w:r>
            <w:r w:rsidRPr="00870849">
              <w:rPr>
                <w:rFonts w:ascii="Times New Roman" w:eastAsia="仿宋_GB2312" w:hAnsi="Times New Roman"/>
                <w:color w:val="000000"/>
                <w:szCs w:val="21"/>
              </w:rPr>
              <w:t>）未经委托人书面同意，擅自对外发布房源信息</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15</w:t>
            </w:r>
            <w:r w:rsidRPr="00870849">
              <w:rPr>
                <w:rFonts w:ascii="Times New Roman" w:eastAsia="仿宋_GB2312" w:hAnsi="Times New Roman"/>
                <w:color w:val="000000"/>
                <w:szCs w:val="21"/>
              </w:rPr>
              <w:t>）未将资金存入交易资金监管账户，擅自划转客户交易结算资金</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16</w:t>
            </w:r>
            <w:r w:rsidRPr="00870849">
              <w:rPr>
                <w:rFonts w:ascii="Times New Roman" w:eastAsia="仿宋_GB2312" w:hAnsi="Times New Roman"/>
                <w:color w:val="000000"/>
                <w:szCs w:val="21"/>
              </w:rPr>
              <w:t>）以隐瞒、欺诈、胁迫、贿赂等不正当手段招揽业务，诱骗消费者交易或者强制交易</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17</w:t>
            </w:r>
            <w:r w:rsidRPr="00870849">
              <w:rPr>
                <w:rFonts w:ascii="Times New Roman" w:eastAsia="仿宋_GB2312" w:hAnsi="Times New Roman"/>
                <w:color w:val="000000"/>
                <w:szCs w:val="21"/>
              </w:rPr>
              <w:t>）泄露或不当使用委托人的个人信息或者商业秘密，谋取不正当利益</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18</w:t>
            </w:r>
            <w:r w:rsidRPr="00870849">
              <w:rPr>
                <w:rFonts w:ascii="Times New Roman" w:eastAsia="仿宋_GB2312" w:hAnsi="Times New Roman"/>
                <w:color w:val="000000"/>
                <w:szCs w:val="21"/>
              </w:rPr>
              <w:t>）为交易当事人规避房屋交易税费等非法目的，就同一房屋签订不同交易价款的合同提供便利</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19</w:t>
            </w:r>
            <w:r w:rsidRPr="00870849">
              <w:rPr>
                <w:rFonts w:ascii="Times New Roman" w:eastAsia="仿宋_GB2312" w:hAnsi="Times New Roman"/>
                <w:color w:val="000000"/>
                <w:szCs w:val="21"/>
              </w:rPr>
              <w:t>）改变房屋内部结构分割出租</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侵占、挪用房地产交易资金</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20</w:t>
            </w:r>
            <w:r w:rsidRPr="00870849">
              <w:rPr>
                <w:rFonts w:ascii="Times New Roman" w:eastAsia="仿宋_GB2312" w:hAnsi="Times New Roman"/>
                <w:color w:val="000000"/>
                <w:szCs w:val="21"/>
              </w:rPr>
              <w:t>）承购、承租自己提供经纪服务的房屋</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21</w:t>
            </w:r>
            <w:r w:rsidRPr="00870849">
              <w:rPr>
                <w:rFonts w:ascii="Times New Roman" w:eastAsia="仿宋_GB2312" w:hAnsi="Times New Roman"/>
                <w:color w:val="000000"/>
                <w:szCs w:val="21"/>
              </w:rPr>
              <w:t>）为不符合交易条件的保障性住房和禁止交易的房屋提供经纪服务</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w:t>
            </w:r>
            <w:r w:rsidRPr="00870849">
              <w:rPr>
                <w:rFonts w:ascii="Times New Roman" w:eastAsia="仿宋_GB2312" w:hAnsi="Times New Roman"/>
                <w:color w:val="000000"/>
                <w:szCs w:val="21"/>
              </w:rPr>
              <w:t>22</w:t>
            </w:r>
            <w:r w:rsidRPr="00870849">
              <w:rPr>
                <w:rFonts w:ascii="Times New Roman" w:eastAsia="仿宋_GB2312" w:hAnsi="Times New Roman"/>
                <w:color w:val="000000"/>
                <w:szCs w:val="21"/>
              </w:rPr>
              <w:t>）通过报纸、广播、电视、网络等途径捏造、散布房地产虚假信息。每次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10</w:t>
            </w:r>
          </w:p>
        </w:tc>
      </w:tr>
      <w:tr w:rsidR="00221C29" w:rsidRPr="00870849" w:rsidTr="002B589D">
        <w:trPr>
          <w:trHeight w:val="567"/>
        </w:trPr>
        <w:tc>
          <w:tcPr>
            <w:tcW w:w="860" w:type="dxa"/>
            <w:vMerge/>
            <w:vAlign w:val="center"/>
          </w:tcPr>
          <w:p w:rsidR="00221C29" w:rsidRPr="00870849" w:rsidRDefault="00221C29" w:rsidP="002B589D">
            <w:pPr>
              <w:spacing w:line="240" w:lineRule="exact"/>
              <w:jc w:val="center"/>
              <w:rPr>
                <w:rFonts w:ascii="Times New Roman" w:eastAsia="仿宋_GB2312" w:hAnsi="Times New Roman"/>
                <w:bCs/>
                <w:color w:val="000000"/>
                <w:szCs w:val="21"/>
              </w:rPr>
            </w:pP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3.2</w:t>
            </w:r>
          </w:p>
        </w:tc>
        <w:tc>
          <w:tcPr>
            <w:tcW w:w="5404" w:type="dxa"/>
            <w:vAlign w:val="center"/>
          </w:tcPr>
          <w:p w:rsidR="00221C29" w:rsidRPr="00870849" w:rsidRDefault="00221C29" w:rsidP="002B589D">
            <w:pPr>
              <w:spacing w:line="240" w:lineRule="exact"/>
              <w:rPr>
                <w:rFonts w:ascii="Times New Roman" w:eastAsia="仿宋_GB2312" w:hAnsi="Times New Roman"/>
                <w:color w:val="000000"/>
                <w:szCs w:val="21"/>
              </w:rPr>
            </w:pPr>
            <w:r w:rsidRPr="00870849">
              <w:rPr>
                <w:rFonts w:ascii="Times New Roman" w:eastAsia="仿宋_GB2312" w:hAnsi="Times New Roman"/>
                <w:color w:val="000000"/>
                <w:szCs w:val="21"/>
              </w:rPr>
              <w:t>违反其他法律、法规禁止行为的；拒不履行人民法院判决、仲裁机关裁决、行政处罚决定，或被列入人民法院失信被执行人名单；引发重大负面舆情，造成严重恶劣影响。每次</w:t>
            </w:r>
          </w:p>
        </w:tc>
        <w:tc>
          <w:tcPr>
            <w:tcW w:w="975" w:type="dxa"/>
            <w:vAlign w:val="center"/>
          </w:tcPr>
          <w:p w:rsidR="00221C29" w:rsidRPr="00870849" w:rsidRDefault="00221C29" w:rsidP="002B589D">
            <w:pPr>
              <w:spacing w:line="240" w:lineRule="exact"/>
              <w:rPr>
                <w:rFonts w:ascii="Times New Roman" w:eastAsia="仿宋_GB2312" w:hAnsi="Times New Roman"/>
                <w:color w:val="000000"/>
                <w:szCs w:val="21"/>
              </w:rPr>
            </w:pPr>
          </w:p>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20</w:t>
            </w:r>
          </w:p>
          <w:p w:rsidR="00221C29" w:rsidRPr="00870849" w:rsidRDefault="00221C29" w:rsidP="002B589D">
            <w:pPr>
              <w:spacing w:line="240" w:lineRule="exact"/>
              <w:jc w:val="center"/>
              <w:rPr>
                <w:rFonts w:ascii="Times New Roman" w:eastAsia="仿宋_GB2312" w:hAnsi="Times New Roman"/>
                <w:color w:val="000000"/>
                <w:szCs w:val="21"/>
              </w:rPr>
            </w:pPr>
          </w:p>
        </w:tc>
      </w:tr>
      <w:tr w:rsidR="00221C29" w:rsidRPr="00870849" w:rsidTr="002B589D">
        <w:trPr>
          <w:trHeight w:val="567"/>
        </w:trPr>
        <w:tc>
          <w:tcPr>
            <w:tcW w:w="860" w:type="dxa"/>
            <w:vMerge w:val="restart"/>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其他</w:t>
            </w:r>
          </w:p>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行为</w:t>
            </w: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4.1</w:t>
            </w:r>
          </w:p>
        </w:tc>
        <w:tc>
          <w:tcPr>
            <w:tcW w:w="5404" w:type="dxa"/>
            <w:vAlign w:val="center"/>
          </w:tcPr>
          <w:p w:rsidR="00221C29" w:rsidRPr="00870849" w:rsidRDefault="00221C29" w:rsidP="002B589D">
            <w:pPr>
              <w:pStyle w:val="a6"/>
              <w:spacing w:line="240" w:lineRule="exact"/>
              <w:rPr>
                <w:rFonts w:eastAsia="仿宋_GB2312"/>
                <w:color w:val="000000"/>
                <w:szCs w:val="21"/>
              </w:rPr>
            </w:pPr>
            <w:r w:rsidRPr="00870849">
              <w:rPr>
                <w:rFonts w:eastAsia="仿宋_GB2312"/>
                <w:color w:val="000000"/>
                <w:szCs w:val="21"/>
              </w:rPr>
              <w:t>不积极参加诚信教育、行业法规政策培训，每次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3</w:t>
            </w:r>
          </w:p>
        </w:tc>
      </w:tr>
      <w:tr w:rsidR="00221C29" w:rsidRPr="00870849" w:rsidTr="002B589D">
        <w:trPr>
          <w:trHeight w:val="567"/>
        </w:trPr>
        <w:tc>
          <w:tcPr>
            <w:tcW w:w="860" w:type="dxa"/>
            <w:vMerge/>
            <w:vAlign w:val="center"/>
          </w:tcPr>
          <w:p w:rsidR="00221C29" w:rsidRPr="00870849" w:rsidRDefault="00221C29" w:rsidP="002B589D">
            <w:pPr>
              <w:spacing w:line="240" w:lineRule="exact"/>
              <w:jc w:val="center"/>
              <w:rPr>
                <w:rFonts w:ascii="Times New Roman" w:eastAsia="仿宋_GB2312" w:hAnsi="Times New Roman"/>
                <w:bCs/>
                <w:color w:val="000000"/>
                <w:szCs w:val="21"/>
              </w:rPr>
            </w:pP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4.2</w:t>
            </w:r>
          </w:p>
        </w:tc>
        <w:tc>
          <w:tcPr>
            <w:tcW w:w="5404" w:type="dxa"/>
            <w:vAlign w:val="center"/>
          </w:tcPr>
          <w:p w:rsidR="00221C29" w:rsidRPr="00870849" w:rsidRDefault="00221C29" w:rsidP="002B589D">
            <w:pPr>
              <w:pStyle w:val="3"/>
              <w:widowControl/>
              <w:spacing w:beforeAutospacing="0" w:afterAutospacing="0" w:line="240" w:lineRule="exact"/>
              <w:jc w:val="center"/>
              <w:rPr>
                <w:rFonts w:ascii="Times New Roman" w:eastAsia="仿宋_GB2312" w:hAnsi="Times New Roman"/>
                <w:b w:val="0"/>
                <w:bCs/>
                <w:color w:val="000000"/>
                <w:kern w:val="2"/>
                <w:sz w:val="21"/>
                <w:szCs w:val="21"/>
              </w:rPr>
            </w:pPr>
            <w:r w:rsidRPr="00870849">
              <w:rPr>
                <w:rFonts w:ascii="Times New Roman" w:eastAsia="仿宋_GB2312" w:hAnsi="Times New Roman"/>
                <w:b w:val="0"/>
                <w:color w:val="000000"/>
                <w:kern w:val="2"/>
                <w:sz w:val="21"/>
                <w:szCs w:val="21"/>
              </w:rPr>
              <w:t>对投诉的问题推卸责任或整改不力；不配合主管部门开展房地产经纪日常监管活动；被</w:t>
            </w:r>
          </w:p>
          <w:p w:rsidR="00221C29" w:rsidRPr="00870849" w:rsidRDefault="00221C29" w:rsidP="002B589D">
            <w:pPr>
              <w:pStyle w:val="3"/>
              <w:widowControl/>
              <w:spacing w:beforeAutospacing="0" w:afterAutospacing="0" w:line="240" w:lineRule="exact"/>
              <w:jc w:val="both"/>
              <w:rPr>
                <w:rFonts w:ascii="Times New Roman" w:eastAsia="仿宋_GB2312" w:hAnsi="Times New Roman"/>
                <w:color w:val="000000"/>
                <w:sz w:val="21"/>
                <w:szCs w:val="21"/>
              </w:rPr>
            </w:pPr>
            <w:r w:rsidRPr="00870849">
              <w:rPr>
                <w:rFonts w:ascii="Times New Roman" w:eastAsia="仿宋_GB2312" w:hAnsi="Times New Roman"/>
                <w:b w:val="0"/>
                <w:color w:val="000000"/>
                <w:kern w:val="2"/>
                <w:sz w:val="21"/>
                <w:szCs w:val="21"/>
              </w:rPr>
              <w:t>提示约谈或警示约谈的。每次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5</w:t>
            </w:r>
          </w:p>
        </w:tc>
      </w:tr>
      <w:tr w:rsidR="00221C29" w:rsidRPr="00870849" w:rsidTr="002B589D">
        <w:trPr>
          <w:trHeight w:val="567"/>
        </w:trPr>
        <w:tc>
          <w:tcPr>
            <w:tcW w:w="860" w:type="dxa"/>
            <w:vMerge/>
            <w:vAlign w:val="center"/>
          </w:tcPr>
          <w:p w:rsidR="00221C29" w:rsidRPr="00870849" w:rsidRDefault="00221C29" w:rsidP="002B589D">
            <w:pPr>
              <w:spacing w:line="240" w:lineRule="exact"/>
              <w:jc w:val="center"/>
              <w:rPr>
                <w:rFonts w:ascii="Times New Roman" w:eastAsia="仿宋_GB2312" w:hAnsi="Times New Roman"/>
                <w:bCs/>
                <w:color w:val="000000"/>
                <w:szCs w:val="21"/>
              </w:rPr>
            </w:pP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4.3</w:t>
            </w:r>
          </w:p>
        </w:tc>
        <w:tc>
          <w:tcPr>
            <w:tcW w:w="5404" w:type="dxa"/>
            <w:vAlign w:val="center"/>
          </w:tcPr>
          <w:p w:rsidR="00221C29" w:rsidRPr="00870849" w:rsidRDefault="00221C29" w:rsidP="002B589D">
            <w:pPr>
              <w:spacing w:line="240" w:lineRule="exact"/>
              <w:jc w:val="left"/>
              <w:rPr>
                <w:rFonts w:ascii="Times New Roman" w:eastAsia="仿宋_GB2312" w:hAnsi="Times New Roman"/>
                <w:color w:val="000000"/>
                <w:szCs w:val="21"/>
              </w:rPr>
            </w:pPr>
            <w:r w:rsidRPr="00870849">
              <w:rPr>
                <w:rFonts w:ascii="Times New Roman" w:eastAsia="仿宋_GB2312" w:hAnsi="Times New Roman"/>
                <w:color w:val="000000"/>
                <w:szCs w:val="21"/>
              </w:rPr>
              <w:t>违背公开信用承诺的，每次</w:t>
            </w: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r w:rsidRPr="00870849">
              <w:rPr>
                <w:rFonts w:ascii="Times New Roman" w:eastAsia="仿宋_GB2312" w:hAnsi="Times New Roman"/>
                <w:color w:val="000000"/>
                <w:szCs w:val="21"/>
              </w:rPr>
              <w:t>10</w:t>
            </w:r>
          </w:p>
        </w:tc>
      </w:tr>
      <w:tr w:rsidR="00221C29" w:rsidRPr="00870849" w:rsidTr="002B589D">
        <w:trPr>
          <w:trHeight w:val="1164"/>
        </w:trPr>
        <w:tc>
          <w:tcPr>
            <w:tcW w:w="860" w:type="dxa"/>
            <w:vAlign w:val="center"/>
          </w:tcPr>
          <w:p w:rsidR="00221C29" w:rsidRPr="00870849" w:rsidRDefault="00221C29" w:rsidP="002B589D">
            <w:pPr>
              <w:spacing w:line="240" w:lineRule="exact"/>
              <w:jc w:val="center"/>
              <w:rPr>
                <w:rFonts w:ascii="Times New Roman" w:eastAsia="仿宋_GB2312" w:hAnsi="Times New Roman"/>
                <w:bCs/>
                <w:color w:val="000000"/>
                <w:szCs w:val="21"/>
              </w:rPr>
            </w:pPr>
            <w:r w:rsidRPr="00870849">
              <w:rPr>
                <w:rFonts w:ascii="Times New Roman" w:eastAsia="仿宋_GB2312" w:hAnsi="Times New Roman"/>
                <w:bCs/>
                <w:color w:val="000000"/>
                <w:szCs w:val="21"/>
              </w:rPr>
              <w:t>加盟机构与授权品牌</w:t>
            </w:r>
          </w:p>
        </w:tc>
        <w:tc>
          <w:tcPr>
            <w:tcW w:w="1091" w:type="dxa"/>
            <w:vAlign w:val="center"/>
          </w:tcPr>
          <w:p w:rsidR="00221C29" w:rsidRPr="00870849" w:rsidRDefault="00221C29" w:rsidP="002B589D">
            <w:pPr>
              <w:spacing w:line="240" w:lineRule="exact"/>
              <w:jc w:val="center"/>
              <w:rPr>
                <w:rFonts w:ascii="Times New Roman" w:eastAsia="仿宋_GB2312" w:hAnsi="Times New Roman"/>
                <w:bCs/>
                <w:color w:val="FF0000"/>
                <w:szCs w:val="21"/>
              </w:rPr>
            </w:pPr>
            <w:r w:rsidRPr="00870849">
              <w:rPr>
                <w:rFonts w:ascii="Times New Roman" w:eastAsia="仿宋_GB2312" w:hAnsi="Times New Roman"/>
                <w:color w:val="000000"/>
                <w:szCs w:val="21"/>
              </w:rPr>
              <w:t>5</w:t>
            </w:r>
          </w:p>
        </w:tc>
        <w:tc>
          <w:tcPr>
            <w:tcW w:w="5404" w:type="dxa"/>
            <w:vAlign w:val="center"/>
          </w:tcPr>
          <w:p w:rsidR="00221C29" w:rsidRPr="00870849" w:rsidRDefault="00221C29" w:rsidP="002B589D">
            <w:pPr>
              <w:pStyle w:val="HTML"/>
              <w:widowControl/>
              <w:shd w:val="clear" w:color="auto" w:fill="FFFFFF"/>
              <w:spacing w:line="240" w:lineRule="exact"/>
              <w:jc w:val="center"/>
              <w:rPr>
                <w:rFonts w:ascii="Times New Roman" w:eastAsia="仿宋_GB2312" w:hAnsi="Times New Roman" w:hint="default"/>
                <w:color w:val="000000"/>
                <w:sz w:val="21"/>
                <w:szCs w:val="21"/>
              </w:rPr>
            </w:pPr>
          </w:p>
          <w:p w:rsidR="00221C29" w:rsidRPr="00870849" w:rsidRDefault="00221C29" w:rsidP="002B589D">
            <w:pPr>
              <w:pStyle w:val="HTML"/>
              <w:widowControl/>
              <w:shd w:val="clear" w:color="auto" w:fill="FFFFFF"/>
              <w:spacing w:line="240" w:lineRule="exact"/>
              <w:jc w:val="center"/>
              <w:rPr>
                <w:rFonts w:ascii="Times New Roman" w:eastAsia="仿宋_GB2312" w:hAnsi="Times New Roman" w:hint="default"/>
                <w:color w:val="000000"/>
                <w:sz w:val="21"/>
                <w:szCs w:val="21"/>
              </w:rPr>
            </w:pPr>
            <w:r w:rsidRPr="00870849">
              <w:rPr>
                <w:rFonts w:ascii="Times New Roman" w:eastAsia="仿宋_GB2312" w:hAnsi="Times New Roman" w:hint="default"/>
                <w:color w:val="000000"/>
                <w:sz w:val="21"/>
                <w:szCs w:val="21"/>
              </w:rPr>
              <w:t>加盟机构每扣</w:t>
            </w:r>
            <w:r w:rsidRPr="00870849">
              <w:rPr>
                <w:rFonts w:ascii="Times New Roman" w:eastAsia="仿宋_GB2312" w:hAnsi="Times New Roman" w:hint="default"/>
                <w:color w:val="000000"/>
                <w:sz w:val="21"/>
                <w:szCs w:val="21"/>
              </w:rPr>
              <w:t>10</w:t>
            </w:r>
            <w:r w:rsidRPr="00870849">
              <w:rPr>
                <w:rFonts w:ascii="Times New Roman" w:eastAsia="仿宋_GB2312" w:hAnsi="Times New Roman" w:hint="default"/>
                <w:color w:val="000000"/>
                <w:sz w:val="21"/>
                <w:szCs w:val="21"/>
              </w:rPr>
              <w:t>分，授权机构相应扣</w:t>
            </w:r>
            <w:r w:rsidRPr="00870849">
              <w:rPr>
                <w:rFonts w:ascii="Times New Roman" w:eastAsia="仿宋_GB2312" w:hAnsi="Times New Roman" w:hint="default"/>
                <w:color w:val="000000"/>
                <w:sz w:val="21"/>
                <w:szCs w:val="21"/>
              </w:rPr>
              <w:t>2</w:t>
            </w:r>
            <w:r w:rsidRPr="00870849">
              <w:rPr>
                <w:rFonts w:ascii="Times New Roman" w:eastAsia="仿宋_GB2312" w:hAnsi="Times New Roman" w:hint="default"/>
                <w:color w:val="000000"/>
                <w:sz w:val="21"/>
                <w:szCs w:val="21"/>
              </w:rPr>
              <w:t>分</w:t>
            </w:r>
          </w:p>
          <w:p w:rsidR="00221C29" w:rsidRPr="00870849" w:rsidRDefault="00221C29" w:rsidP="002B589D">
            <w:pPr>
              <w:pStyle w:val="HTML"/>
              <w:widowControl/>
              <w:shd w:val="clear" w:color="auto" w:fill="FFFFFF"/>
              <w:spacing w:line="240" w:lineRule="exact"/>
              <w:jc w:val="center"/>
              <w:rPr>
                <w:rFonts w:ascii="Times New Roman" w:eastAsia="仿宋_GB2312" w:hAnsi="Times New Roman" w:hint="default"/>
                <w:color w:val="000000"/>
                <w:sz w:val="21"/>
                <w:szCs w:val="21"/>
              </w:rPr>
            </w:pPr>
          </w:p>
        </w:tc>
        <w:tc>
          <w:tcPr>
            <w:tcW w:w="975" w:type="dxa"/>
            <w:vAlign w:val="center"/>
          </w:tcPr>
          <w:p w:rsidR="00221C29" w:rsidRPr="00870849" w:rsidRDefault="00221C29" w:rsidP="002B589D">
            <w:pPr>
              <w:spacing w:line="240" w:lineRule="exact"/>
              <w:jc w:val="center"/>
              <w:rPr>
                <w:rFonts w:ascii="Times New Roman" w:eastAsia="仿宋_GB2312" w:hAnsi="Times New Roman"/>
                <w:color w:val="000000"/>
                <w:szCs w:val="21"/>
              </w:rPr>
            </w:pPr>
          </w:p>
        </w:tc>
      </w:tr>
    </w:tbl>
    <w:p w:rsidR="00221C29" w:rsidRDefault="00221C29" w:rsidP="00221C29">
      <w:pPr>
        <w:pStyle w:val="a0"/>
        <w:rPr>
          <w:rFonts w:ascii="Times New Roman" w:hAnsi="Times New Roman" w:cs="Times New Roman" w:hint="eastAsia"/>
        </w:rPr>
      </w:pPr>
    </w:p>
    <w:p w:rsidR="00221C29" w:rsidRDefault="00221C29" w:rsidP="00221C29">
      <w:pPr>
        <w:pStyle w:val="a0"/>
        <w:rPr>
          <w:rFonts w:ascii="Times New Roman" w:hAnsi="Times New Roman" w:cs="Times New Roman" w:hint="eastAsia"/>
        </w:rPr>
      </w:pPr>
    </w:p>
    <w:p w:rsidR="00872666" w:rsidRPr="00221C29" w:rsidRDefault="00872666"/>
    <w:sectPr w:rsidR="00872666" w:rsidRPr="00221C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666" w:rsidRDefault="00872666" w:rsidP="00221C29">
      <w:r>
        <w:separator/>
      </w:r>
    </w:p>
  </w:endnote>
  <w:endnote w:type="continuationSeparator" w:id="1">
    <w:p w:rsidR="00872666" w:rsidRDefault="00872666" w:rsidP="00221C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666" w:rsidRDefault="00872666" w:rsidP="00221C29">
      <w:r>
        <w:separator/>
      </w:r>
    </w:p>
  </w:footnote>
  <w:footnote w:type="continuationSeparator" w:id="1">
    <w:p w:rsidR="00872666" w:rsidRDefault="00872666" w:rsidP="00221C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C0518"/>
    <w:multiLevelType w:val="singleLevel"/>
    <w:tmpl w:val="8AFC0518"/>
    <w:lvl w:ilvl="0">
      <w:start w:val="1"/>
      <w:numFmt w:val="decimal"/>
      <w:suff w:val="nothing"/>
      <w:lvlText w:val="（%1）"/>
      <w:lvlJc w:val="left"/>
    </w:lvl>
  </w:abstractNum>
  <w:abstractNum w:abstractNumId="1">
    <w:nsid w:val="D7859542"/>
    <w:multiLevelType w:val="singleLevel"/>
    <w:tmpl w:val="D7859542"/>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C29"/>
    <w:rsid w:val="00221C29"/>
    <w:rsid w:val="00872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1C29"/>
    <w:pPr>
      <w:widowControl w:val="0"/>
      <w:jc w:val="both"/>
    </w:pPr>
    <w:rPr>
      <w:rFonts w:ascii="Calibri" w:eastAsia="宋体" w:hAnsi="Calibri" w:cs="Times New Roman"/>
    </w:rPr>
  </w:style>
  <w:style w:type="paragraph" w:styleId="3">
    <w:name w:val="heading 3"/>
    <w:basedOn w:val="a"/>
    <w:next w:val="a"/>
    <w:link w:val="3Char"/>
    <w:qFormat/>
    <w:rsid w:val="00221C29"/>
    <w:pPr>
      <w:spacing w:before="100" w:beforeAutospacing="1" w:after="100" w:afterAutospacing="1"/>
      <w:jc w:val="left"/>
      <w:outlineLvl w:val="2"/>
    </w:pPr>
    <w:rPr>
      <w:rFonts w:ascii="宋体" w:hAnsi="宋体"/>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21C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21C29"/>
    <w:rPr>
      <w:sz w:val="18"/>
      <w:szCs w:val="18"/>
    </w:rPr>
  </w:style>
  <w:style w:type="paragraph" w:styleId="a5">
    <w:name w:val="footer"/>
    <w:basedOn w:val="a"/>
    <w:link w:val="Char0"/>
    <w:uiPriority w:val="99"/>
    <w:semiHidden/>
    <w:unhideWhenUsed/>
    <w:rsid w:val="00221C2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21C29"/>
    <w:rPr>
      <w:sz w:val="18"/>
      <w:szCs w:val="18"/>
    </w:rPr>
  </w:style>
  <w:style w:type="character" w:customStyle="1" w:styleId="3Char">
    <w:name w:val="标题 3 Char"/>
    <w:basedOn w:val="a1"/>
    <w:link w:val="3"/>
    <w:rsid w:val="00221C29"/>
    <w:rPr>
      <w:rFonts w:ascii="宋体" w:eastAsia="宋体" w:hAnsi="宋体" w:cs="Times New Roman"/>
      <w:b/>
      <w:kern w:val="0"/>
      <w:sz w:val="27"/>
      <w:szCs w:val="27"/>
    </w:rPr>
  </w:style>
  <w:style w:type="paragraph" w:styleId="a6">
    <w:name w:val="Body Text"/>
    <w:basedOn w:val="a"/>
    <w:link w:val="Char1"/>
    <w:unhideWhenUsed/>
    <w:qFormat/>
    <w:rsid w:val="00221C29"/>
    <w:pPr>
      <w:spacing w:after="120"/>
    </w:pPr>
    <w:rPr>
      <w:rFonts w:ascii="Times New Roman" w:hAnsi="Times New Roman"/>
    </w:rPr>
  </w:style>
  <w:style w:type="character" w:customStyle="1" w:styleId="Char1">
    <w:name w:val="正文文本 Char"/>
    <w:basedOn w:val="a1"/>
    <w:link w:val="a6"/>
    <w:rsid w:val="00221C29"/>
    <w:rPr>
      <w:rFonts w:ascii="Times New Roman" w:eastAsia="宋体" w:hAnsi="Times New Roman" w:cs="Times New Roman"/>
    </w:rPr>
  </w:style>
  <w:style w:type="paragraph" w:styleId="a0">
    <w:name w:val="Normal Indent"/>
    <w:basedOn w:val="a"/>
    <w:unhideWhenUsed/>
    <w:qFormat/>
    <w:rsid w:val="00221C29"/>
    <w:pPr>
      <w:widowControl/>
      <w:ind w:firstLineChars="200" w:firstLine="420"/>
    </w:pPr>
    <w:rPr>
      <w:rFonts w:eastAsia="黑体" w:cs="黑体"/>
      <w:kern w:val="0"/>
      <w:szCs w:val="21"/>
    </w:rPr>
  </w:style>
  <w:style w:type="paragraph" w:styleId="a7">
    <w:name w:val="Normal (Web)"/>
    <w:basedOn w:val="a"/>
    <w:uiPriority w:val="99"/>
    <w:qFormat/>
    <w:rsid w:val="00221C29"/>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qFormat/>
    <w:rsid w:val="0022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rsid w:val="00221C29"/>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2022-12-12T06:36:00Z</dcterms:created>
  <dcterms:modified xsi:type="dcterms:W3CDTF">2022-12-12T06:36:00Z</dcterms:modified>
</cp:coreProperties>
</file>